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4C70" w14:textId="631D7161" w:rsidR="00F7617D" w:rsidRDefault="00AB3318">
      <w:pPr>
        <w:rPr>
          <w:rFonts w:ascii="AAAAAD+HelveticaNeue-Bold" w:hAnsi="AAAAAD+HelveticaNeue-Bold" w:cs="AAAAAD+HelveticaNeue-Bold"/>
          <w:b/>
          <w:bCs/>
          <w:sz w:val="36"/>
          <w:szCs w:val="36"/>
        </w:rPr>
      </w:pPr>
      <w:r w:rsidRPr="002F4F17">
        <w:rPr>
          <w:b/>
          <w:bCs/>
          <w:sz w:val="56"/>
          <w:szCs w:val="56"/>
        </w:rPr>
        <w:t>Parliamentary Brief</w:t>
      </w:r>
      <w:r>
        <w:rPr>
          <w:b/>
          <w:bCs/>
          <w:sz w:val="74"/>
          <w:szCs w:val="74"/>
        </w:rPr>
        <w:t xml:space="preserve"> </w:t>
      </w:r>
      <w:r>
        <w:rPr>
          <w:rFonts w:ascii="AAAAAD+HelveticaNeue-Bold" w:hAnsi="AAAAAD+HelveticaNeue-Bold" w:cs="AAAAAD+HelveticaNeue-Bold"/>
          <w:b/>
          <w:bCs/>
        </w:rPr>
        <w:t xml:space="preserve"> </w:t>
      </w:r>
      <w:r w:rsidRPr="00EB49F3">
        <w:rPr>
          <w:rFonts w:ascii="AAAAAD+HelveticaNeue-Bold" w:hAnsi="AAAAAD+HelveticaNeue-Bold" w:cs="AAAAAD+HelveticaNeue-Bold"/>
          <w:b/>
          <w:bCs/>
          <w:sz w:val="28"/>
          <w:szCs w:val="28"/>
        </w:rPr>
        <w:t>October 2025</w:t>
      </w:r>
      <w:r>
        <w:rPr>
          <w:rFonts w:ascii="AAAAAD+HelveticaNeue-Bold" w:hAnsi="AAAAAD+HelveticaNeue-Bold" w:cs="AAAAAD+HelveticaNeue-Bold"/>
          <w:b/>
          <w:bCs/>
        </w:rPr>
        <w:t xml:space="preserve"> </w:t>
      </w:r>
      <w:r w:rsidR="00EB49F3">
        <w:rPr>
          <w:rFonts w:ascii="AAAAAD+HelveticaNeue-Bold" w:hAnsi="AAAAAD+HelveticaNeue-Bold" w:cs="AAAAAD+HelveticaNeue-Bold"/>
          <w:b/>
          <w:bCs/>
        </w:rPr>
        <w:t xml:space="preserve"> </w:t>
      </w:r>
      <w:r>
        <w:rPr>
          <w:rFonts w:ascii="AAAAAD+HelveticaNeue-Bold" w:hAnsi="AAAAAD+HelveticaNeue-Bold" w:cs="AAAAAD+HelveticaNeue-Bold"/>
          <w:b/>
          <w:bCs/>
          <w:sz w:val="36"/>
          <w:szCs w:val="36"/>
        </w:rPr>
        <w:t xml:space="preserve">Summary of APPG on Fire Safety &amp; Rescue – Annual Report 2024–2025 </w:t>
      </w:r>
      <w:r w:rsidR="00F7617D">
        <w:rPr>
          <w:rFonts w:ascii="AAAAAD+HelveticaNeue-Bold" w:hAnsi="AAAAAD+HelveticaNeue-Bold" w:cs="AAAAAD+HelveticaNeue-Bold"/>
          <w:b/>
          <w:bCs/>
          <w:sz w:val="36"/>
          <w:szCs w:val="36"/>
        </w:rPr>
        <w:t xml:space="preserve"> (</w:t>
      </w:r>
      <w:r w:rsidR="006665EB">
        <w:rPr>
          <w:rFonts w:ascii="AAAAAD+HelveticaNeue-Bold" w:hAnsi="AAAAAD+HelveticaNeue-Bold" w:cs="AAAAAD+HelveticaNeue-Bold"/>
          <w:b/>
          <w:bCs/>
          <w:sz w:val="36"/>
          <w:szCs w:val="36"/>
        </w:rPr>
        <w:t xml:space="preserve">summarised </w:t>
      </w:r>
      <w:r w:rsidR="00F7617D">
        <w:rPr>
          <w:rFonts w:ascii="AAAAAD+HelveticaNeue-Bold" w:hAnsi="AAAAAD+HelveticaNeue-Bold" w:cs="AAAAAD+HelveticaNeue-Bold"/>
          <w:b/>
          <w:bCs/>
          <w:sz w:val="36"/>
          <w:szCs w:val="36"/>
        </w:rPr>
        <w:t>with the assistance of John Morton – Fire Sector Confederation)</w:t>
      </w:r>
      <w:r w:rsidR="006665EB">
        <w:rPr>
          <w:rFonts w:ascii="AAAAAD+HelveticaNeue-Bold" w:hAnsi="AAAAAD+HelveticaNeue-Bold" w:cs="AAAAAD+HelveticaNeue-Bold"/>
          <w:b/>
          <w:bCs/>
          <w:sz w:val="36"/>
          <w:szCs w:val="36"/>
        </w:rPr>
        <w:t xml:space="preserve"> – The full </w:t>
      </w:r>
      <w:r w:rsidR="002369FD">
        <w:rPr>
          <w:rFonts w:ascii="AAAAAD+HelveticaNeue-Bold" w:hAnsi="AAAAAD+HelveticaNeue-Bold" w:cs="AAAAAD+HelveticaNeue-Bold"/>
          <w:b/>
          <w:bCs/>
          <w:sz w:val="36"/>
          <w:szCs w:val="36"/>
        </w:rPr>
        <w:t>Annual R</w:t>
      </w:r>
      <w:r w:rsidR="006665EB">
        <w:rPr>
          <w:rFonts w:ascii="AAAAAD+HelveticaNeue-Bold" w:hAnsi="AAAAAD+HelveticaNeue-Bold" w:cs="AAAAAD+HelveticaNeue-Bold"/>
          <w:b/>
          <w:bCs/>
          <w:sz w:val="36"/>
          <w:szCs w:val="36"/>
        </w:rPr>
        <w:t xml:space="preserve">eport is forwarded and attached  separately, along with the </w:t>
      </w:r>
      <w:r w:rsidR="002F4F17">
        <w:rPr>
          <w:rFonts w:ascii="AAAAAD+HelveticaNeue-Bold" w:hAnsi="AAAAAD+HelveticaNeue-Bold" w:cs="AAAAAD+HelveticaNeue-Bold"/>
          <w:b/>
          <w:bCs/>
          <w:sz w:val="36"/>
          <w:szCs w:val="36"/>
        </w:rPr>
        <w:t xml:space="preserve">DRAFT minutes of </w:t>
      </w:r>
      <w:r w:rsidR="006665EB">
        <w:rPr>
          <w:rFonts w:ascii="AAAAAD+HelveticaNeue-Bold" w:hAnsi="AAAAAD+HelveticaNeue-Bold" w:cs="AAAAAD+HelveticaNeue-Bold"/>
          <w:b/>
          <w:bCs/>
          <w:sz w:val="36"/>
          <w:szCs w:val="36"/>
        </w:rPr>
        <w:t>APPG AGM held last week (15</w:t>
      </w:r>
      <w:r w:rsidR="006665EB" w:rsidRPr="006665EB">
        <w:rPr>
          <w:rFonts w:ascii="AAAAAD+HelveticaNeue-Bold" w:hAnsi="AAAAAD+HelveticaNeue-Bold" w:cs="AAAAAD+HelveticaNeue-Bold"/>
          <w:b/>
          <w:bCs/>
          <w:sz w:val="36"/>
          <w:szCs w:val="36"/>
          <w:vertAlign w:val="superscript"/>
        </w:rPr>
        <w:t>th</w:t>
      </w:r>
      <w:r w:rsidR="006665EB">
        <w:rPr>
          <w:rFonts w:ascii="AAAAAD+HelveticaNeue-Bold" w:hAnsi="AAAAAD+HelveticaNeue-Bold" w:cs="AAAAAD+HelveticaNeue-Bold"/>
          <w:b/>
          <w:bCs/>
          <w:sz w:val="36"/>
          <w:szCs w:val="36"/>
        </w:rPr>
        <w:t xml:space="preserve"> October).</w:t>
      </w:r>
    </w:p>
    <w:p w14:paraId="7A2BC220" w14:textId="05107525" w:rsidR="00F7617D" w:rsidRDefault="00AB3318">
      <w:pPr>
        <w:rPr>
          <w:rFonts w:ascii="AAAAAC+HelveticaNeue" w:hAnsi="AAAAAC+HelveticaNeue" w:cs="AAAAAC+HelveticaNeue"/>
          <w:sz w:val="28"/>
          <w:szCs w:val="28"/>
        </w:rPr>
      </w:pPr>
      <w:r>
        <w:rPr>
          <w:rFonts w:ascii="AAAAAD+HelveticaNeue-Bold" w:hAnsi="AAAAAD+HelveticaNeue-Bold" w:cs="AAAAAD+HelveticaNeue-Bold"/>
          <w:b/>
          <w:bCs/>
          <w:sz w:val="28"/>
          <w:szCs w:val="28"/>
        </w:rPr>
        <w:t xml:space="preserve">1. Overview </w:t>
      </w:r>
      <w:r>
        <w:rPr>
          <w:rFonts w:ascii="AAAAAC+HelveticaNeue" w:hAnsi="AAAAAC+HelveticaNeue" w:cs="AAAAAC+HelveticaNeue"/>
          <w:sz w:val="28"/>
          <w:szCs w:val="28"/>
        </w:rPr>
        <w:t xml:space="preserve">The All-Party Parliamentary Group (APPG) on Fire Safety &amp; Rescue, chaired by Bob Blackman CBE MP and supported by </w:t>
      </w:r>
      <w:r w:rsidR="00F7617D">
        <w:rPr>
          <w:rFonts w:ascii="AAAAAC+HelveticaNeue" w:hAnsi="AAAAAC+HelveticaNeue" w:cs="AAAAAC+HelveticaNeue"/>
          <w:sz w:val="28"/>
          <w:szCs w:val="28"/>
        </w:rPr>
        <w:t>Adviser/</w:t>
      </w:r>
      <w:r>
        <w:rPr>
          <w:rFonts w:ascii="AAAAAC+HelveticaNeue" w:hAnsi="AAAAAC+HelveticaNeue" w:cs="AAAAAC+HelveticaNeue"/>
          <w:sz w:val="28"/>
          <w:szCs w:val="28"/>
        </w:rPr>
        <w:t>Hon. Secretary Ronnie King OBE, continues its long-standing mission to promote fire safety improvements across the UK.</w:t>
      </w:r>
    </w:p>
    <w:p w14:paraId="3FA11AB6" w14:textId="5BA7E7AD" w:rsidR="00F7617D" w:rsidRDefault="00F7617D">
      <w:pPr>
        <w:rPr>
          <w:rFonts w:ascii="AAAAAC+HelveticaNeue" w:hAnsi="AAAAAC+HelveticaNeue" w:cs="AAAAAC+HelveticaNeue"/>
          <w:sz w:val="28"/>
          <w:szCs w:val="28"/>
        </w:rPr>
      </w:pPr>
      <w:r>
        <w:rPr>
          <w:rFonts w:ascii="AAAAAC+HelveticaNeue" w:hAnsi="AAAAAC+HelveticaNeue" w:cs="AAAAAC+HelveticaNeue"/>
          <w:sz w:val="28"/>
          <w:szCs w:val="28"/>
        </w:rPr>
        <w:t xml:space="preserve">During the Group’s </w:t>
      </w:r>
      <w:r w:rsidR="00EB49F3">
        <w:rPr>
          <w:rFonts w:ascii="AAAAAC+HelveticaNeue" w:hAnsi="AAAAAC+HelveticaNeue" w:cs="AAAAAC+HelveticaNeue"/>
          <w:sz w:val="28"/>
          <w:szCs w:val="28"/>
        </w:rPr>
        <w:t xml:space="preserve">last </w:t>
      </w:r>
      <w:r>
        <w:rPr>
          <w:rFonts w:ascii="AAAAAC+HelveticaNeue" w:hAnsi="AAAAAC+HelveticaNeue" w:cs="AAAAAC+HelveticaNeue"/>
          <w:sz w:val="28"/>
          <w:szCs w:val="28"/>
        </w:rPr>
        <w:t>official reporting year July 2024 to July 2025</w:t>
      </w:r>
      <w:r w:rsidR="00AB3318">
        <w:rPr>
          <w:rFonts w:ascii="AAAAAC+HelveticaNeue" w:hAnsi="AAAAAC+HelveticaNeue" w:cs="AAAAAC+HelveticaNeue"/>
          <w:sz w:val="28"/>
          <w:szCs w:val="28"/>
        </w:rPr>
        <w:t>, the Group’s work centred on the Grenfell Tower Inquiry Phase 2 findings, fire safety legislation, and the ongoing remediation of unsafe buildings. The APPG provides cross-party leadership in promoting e</w:t>
      </w:r>
      <w:r w:rsidR="00AB3318">
        <w:rPr>
          <w:rFonts w:ascii="AAAAAE+HelveticaNeue" w:hAnsi="AAAAAE+HelveticaNeue" w:cs="AAAAAE+HelveticaNeue"/>
          <w:sz w:val="28"/>
          <w:szCs w:val="28"/>
        </w:rPr>
        <w:t>ff</w:t>
      </w:r>
      <w:r w:rsidR="00AB3318">
        <w:rPr>
          <w:rFonts w:ascii="AAAAAC+HelveticaNeue" w:hAnsi="AAAAAC+HelveticaNeue" w:cs="AAAAAC+HelveticaNeue"/>
          <w:sz w:val="28"/>
          <w:szCs w:val="28"/>
        </w:rPr>
        <w:t xml:space="preserve">ective, proportionate fire safety regulation and ensuring that the lessons from Grenfell are implemented nationwide. </w:t>
      </w:r>
    </w:p>
    <w:p w14:paraId="50FE66CE" w14:textId="5E93F863" w:rsidR="006665EB" w:rsidRDefault="006665EB">
      <w:pPr>
        <w:rPr>
          <w:rFonts w:ascii="AAAAAC+HelveticaNeue" w:hAnsi="AAAAAC+HelveticaNeue" w:cs="AAAAAC+HelveticaNeue"/>
          <w:sz w:val="28"/>
          <w:szCs w:val="28"/>
        </w:rPr>
      </w:pPr>
      <w:r>
        <w:rPr>
          <w:rFonts w:ascii="AAAAAC+HelveticaNeue" w:hAnsi="AAAAAC+HelveticaNeue" w:cs="AAAAAC+HelveticaNeue"/>
          <w:sz w:val="28"/>
          <w:szCs w:val="28"/>
        </w:rPr>
        <w:t>Ronnie King has attended important and relevant Parliamentary and Ministerial Debates and Briefings throughout the year.</w:t>
      </w:r>
    </w:p>
    <w:p w14:paraId="195E1CA1" w14:textId="77777777" w:rsidR="00AF0F77" w:rsidRDefault="00AB3318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D+HelveticaNeue-Bold" w:hAnsi="AAAAAD+HelveticaNeue-Bold" w:cs="AAAAAD+HelveticaNeue-Bold"/>
          <w:b/>
          <w:bCs/>
          <w:sz w:val="28"/>
          <w:szCs w:val="28"/>
        </w:rPr>
        <w:t xml:space="preserve">2. Key Developments and Parliamentary Activity 2.1 Grenfell Tower Inquiry – Phase 2 Final Report </w:t>
      </w:r>
      <w:r>
        <w:rPr>
          <w:rFonts w:ascii="AAAAAF+Times-Roman" w:hAnsi="AAAAAF+Times-Roman" w:cs="AAAAAF+Times-Roman"/>
          <w:sz w:val="28"/>
          <w:szCs w:val="28"/>
        </w:rPr>
        <w:t xml:space="preserve">• </w:t>
      </w:r>
      <w:r>
        <w:rPr>
          <w:rFonts w:ascii="AAAAAC+HelveticaNeue" w:hAnsi="AAAAAC+HelveticaNeue" w:cs="AAAAAC+HelveticaNeue"/>
          <w:sz w:val="28"/>
          <w:szCs w:val="28"/>
        </w:rPr>
        <w:t xml:space="preserve">The Phase 2 report, </w:t>
      </w:r>
      <w:r w:rsidRPr="006665EB">
        <w:rPr>
          <w:rFonts w:asciiTheme="majorHAnsi" w:hAnsiTheme="majorHAnsi" w:cs="AAAAAC+HelveticaNeue"/>
          <w:sz w:val="28"/>
          <w:szCs w:val="28"/>
        </w:rPr>
        <w:t xml:space="preserve">released in September 2024, delivered 58 recommendations, including: </w:t>
      </w:r>
      <w:r w:rsidRPr="006665EB">
        <w:rPr>
          <w:rFonts w:asciiTheme="majorHAnsi" w:eastAsia="AAAAAH+TimesNewRomanPSMT" w:hAnsiTheme="majorHAnsi" w:cs="AAAAAH+TimesNewRomanPSMT"/>
          <w:sz w:val="28"/>
          <w:szCs w:val="28"/>
        </w:rPr>
        <w:t xml:space="preserve">◦ </w:t>
      </w:r>
      <w:r w:rsidRPr="006665EB">
        <w:rPr>
          <w:rFonts w:asciiTheme="majorHAnsi" w:eastAsia="AAAAAH+TimesNewRomanPSMT" w:hAnsiTheme="majorHAnsi" w:cs="AAAAAC+HelveticaNeue"/>
          <w:sz w:val="28"/>
          <w:szCs w:val="28"/>
        </w:rPr>
        <w:t xml:space="preserve">Establishing a new construction and product regulator. </w:t>
      </w:r>
      <w:r w:rsidRPr="006665EB">
        <w:rPr>
          <w:rFonts w:asciiTheme="majorHAnsi" w:eastAsia="AAAAAH+TimesNewRomanPSMT" w:hAnsiTheme="majorHAnsi" w:cs="AAAAAH+TimesNewRomanPSMT"/>
          <w:sz w:val="28"/>
          <w:szCs w:val="28"/>
        </w:rPr>
        <w:t xml:space="preserve">◦ </w:t>
      </w:r>
      <w:r w:rsidRPr="006665EB">
        <w:rPr>
          <w:rFonts w:asciiTheme="majorHAnsi" w:eastAsia="AAAAAH+TimesNewRomanPSMT" w:hAnsiTheme="majorHAnsi" w:cs="AAAAAC+HelveticaNeue"/>
          <w:sz w:val="28"/>
          <w:szCs w:val="28"/>
        </w:rPr>
        <w:t xml:space="preserve">Creating a dedicated Secretary of State for Fire Safety to consolidate fragmented departmental responsibilities. </w:t>
      </w:r>
      <w:r w:rsidRPr="006665EB">
        <w:rPr>
          <w:rFonts w:asciiTheme="majorHAnsi" w:eastAsia="AAAAAH+TimesNewRomanPSMT" w:hAnsiTheme="majorHAnsi" w:cs="AAAAAH+TimesNewRomanPSMT"/>
          <w:sz w:val="28"/>
          <w:szCs w:val="28"/>
        </w:rPr>
        <w:t xml:space="preserve">◦ </w:t>
      </w:r>
      <w:r w:rsidRPr="006665EB">
        <w:rPr>
          <w:rFonts w:asciiTheme="majorHAnsi" w:eastAsia="AAAAAH+TimesNewRomanPSMT" w:hAnsiTheme="majorHAnsi" w:cs="AAAAAC+HelveticaNeue"/>
          <w:sz w:val="28"/>
          <w:szCs w:val="28"/>
        </w:rPr>
        <w:t xml:space="preserve">Mandating transparency in fire product testing and certification. </w:t>
      </w:r>
      <w:r w:rsidRPr="006665EB">
        <w:rPr>
          <w:rFonts w:asciiTheme="majorHAnsi" w:eastAsia="AAAAAH+TimesNewRomanPSMT" w:hAnsiTheme="majorHAnsi" w:cs="AAAAAH+TimesNewRomanPSMT"/>
          <w:sz w:val="28"/>
          <w:szCs w:val="28"/>
        </w:rPr>
        <w:t xml:space="preserve">◦ </w:t>
      </w:r>
      <w:r w:rsidRPr="006665EB">
        <w:rPr>
          <w:rFonts w:asciiTheme="majorHAnsi" w:eastAsia="AAAAAH+TimesNewRomanPSMT" w:hAnsiTheme="majorHAnsi" w:cs="AAAAAC+HelveticaNeue"/>
          <w:sz w:val="28"/>
          <w:szCs w:val="28"/>
        </w:rPr>
        <w:t xml:space="preserve">Reviewing and revising Approved Document B (ADB) – the main guidance underpinning building fire safety. </w:t>
      </w:r>
      <w:r w:rsidRPr="006665EB">
        <w:rPr>
          <w:rFonts w:asciiTheme="majorHAnsi" w:eastAsia="AAAAAH+TimesNewRomanPSMT" w:hAnsiTheme="majorHAnsi" w:cs="AAAAAH+TimesNewRomanPSMT"/>
          <w:sz w:val="28"/>
          <w:szCs w:val="28"/>
        </w:rPr>
        <w:t xml:space="preserve">◦ </w:t>
      </w:r>
      <w:r w:rsidRPr="006665EB">
        <w:rPr>
          <w:rFonts w:asciiTheme="majorHAnsi" w:eastAsia="AAAAAH+TimesNewRomanPSMT" w:hAnsiTheme="majorHAnsi" w:cs="AAAAAC+HelveticaNeue"/>
          <w:sz w:val="28"/>
          <w:szCs w:val="28"/>
        </w:rPr>
        <w:t xml:space="preserve">Founding a College of Fire &amp; Rescue to standardise national training and competencies. </w:t>
      </w:r>
      <w:r w:rsidRPr="006665EB">
        <w:rPr>
          <w:rFonts w:asciiTheme="majorHAnsi" w:eastAsia="AAAAAH+TimesNewRomanPSMT" w:hAnsiTheme="majorHAnsi" w:cs="AAAAAF+Times-Roman"/>
          <w:sz w:val="28"/>
          <w:szCs w:val="28"/>
        </w:rPr>
        <w:t xml:space="preserve">• </w:t>
      </w:r>
      <w:r w:rsidRPr="006665EB">
        <w:rPr>
          <w:rFonts w:asciiTheme="majorHAnsi" w:eastAsia="AAAAAH+TimesNewRomanPSMT" w:hAnsiTheme="majorHAnsi" w:cs="AAAAAC+HelveticaNeue"/>
          <w:sz w:val="28"/>
          <w:szCs w:val="28"/>
        </w:rPr>
        <w:t xml:space="preserve">The report concluded that every death in the Grenfell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tragedy was avoidable, exposing systemic regulatory failure, poor industry practice, and government inertia. </w:t>
      </w:r>
      <w:r>
        <w:rPr>
          <w:rFonts w:ascii="AAAAAF+Times-Roman" w:eastAsia="AAAAAH+TimesNewRomanPSMT" w:hAnsi="AAAAAF+Times-Roman" w:cs="AAAAAF+Times-Roman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The APPG echoed the late Sir David Amess MP’s long-held warning: “If Government had listened to us, Grenfell would not have occurred.” </w:t>
      </w:r>
      <w:r>
        <w:rPr>
          <w:rFonts w:ascii="AAAAAD+HelveticaNeue-Bold" w:eastAsia="AAAAAH+TimesNewRomanPSMT" w:hAnsi="AAAAAD+HelveticaNeue-Bold" w:cs="AAAAAD+HelveticaNeue-Bold"/>
          <w:b/>
          <w:bCs/>
          <w:sz w:val="28"/>
          <w:szCs w:val="28"/>
        </w:rPr>
        <w:t xml:space="preserve">2.2 Building and Fire Safety Regulation </w:t>
      </w:r>
      <w:r>
        <w:rPr>
          <w:rFonts w:ascii="AAAAAF+Times-Roman" w:eastAsia="AAAAAH+TimesNewRomanPSMT" w:hAnsi="AAAAAF+Times-Roman" w:cs="AAAAAF+Times-Roman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The Building Safety Regulator (BSR) began addressing deficiencies highlighted in the Grenfell report, but progress on remediation remains slow. </w:t>
      </w:r>
      <w:r>
        <w:rPr>
          <w:rFonts w:ascii="AAAAAF+Times-Roman" w:eastAsia="AAAAAH+TimesNewRomanPSMT" w:hAnsi="AAAAAF+Times-Roman" w:cs="AAAAAF+Times-Roman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Over 1,300 high-rise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lastRenderedPageBreak/>
        <w:t xml:space="preserve">buildings in London still require remediation.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The APPG raised alarm over confusion surrounding fire door standards (BS 476 vs EN standards), warning of “unintended industry crisis” if existing certified doors are needlessly replaced.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The Government confirmed new requirements for: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◦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Two staircases in all new buildings above 18m (from 2026).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◦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Sprinklers in new care homes and removal of outdated national fire testing standards.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Continued lobbying for sprinklers in all new schools and updates to BB100 guidance (school fire safety). </w:t>
      </w:r>
      <w:r w:rsidR="006665EB" w:rsidRPr="006665EB">
        <w:rPr>
          <w:rFonts w:ascii="AAAAAD+HelveticaNeue-Bold" w:eastAsia="AAAAAH+TimesNewRomanPSMT" w:hAnsi="AAAAAD+HelveticaNeue-Bold" w:cs="AAAAAD+HelveticaNeue-Bold"/>
          <w:b/>
          <w:bCs/>
          <w:sz w:val="28"/>
          <w:szCs w:val="28"/>
        </w:rPr>
        <w:t>2</w:t>
      </w:r>
      <w:r>
        <w:rPr>
          <w:rFonts w:ascii="AAAAAD+HelveticaNeue-Bold" w:eastAsia="AAAAAH+TimesNewRomanPSMT" w:hAnsi="AAAAAD+HelveticaNeue-Bold" w:cs="AAAAAD+HelveticaNeue-Bold"/>
          <w:b/>
          <w:bCs/>
          <w:sz w:val="23"/>
          <w:szCs w:val="23"/>
        </w:rPr>
        <w:t>.</w:t>
      </w:r>
      <w:r>
        <w:rPr>
          <w:rFonts w:ascii="AAAAAD+HelveticaNeue-Bold" w:eastAsia="AAAAAH+TimesNewRomanPSMT" w:hAnsi="AAAAAD+HelveticaNeue-Bold" w:cs="AAAAAD+HelveticaNeue-Bold"/>
          <w:b/>
          <w:bCs/>
          <w:sz w:val="28"/>
          <w:szCs w:val="28"/>
        </w:rPr>
        <w:t xml:space="preserve">3 Leadership and Governance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Following the July 2024 General Election, the APPG was reconstituted with: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◦ </w:t>
      </w:r>
      <w:r w:rsidR="006665EB">
        <w:rPr>
          <w:rFonts w:ascii="AAAAAJ+Calibri" w:eastAsia="AAAAAH+TimesNewRomanPSMT" w:hAnsi="AAAAAJ+Calibri" w:cs="AAAAAJ+Calibri"/>
          <w:sz w:val="28"/>
          <w:szCs w:val="28"/>
        </w:rPr>
        <w:t xml:space="preserve">Officer &amp;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Chair: Bob Blackman CBE MP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◦ </w:t>
      </w:r>
      <w:r w:rsidR="00E1435A">
        <w:rPr>
          <w:rFonts w:ascii="AAAAAJ+Calibri" w:eastAsia="AAAAAH+TimesNewRomanPSMT" w:hAnsi="AAAAAJ+Calibri" w:cs="AAAAAJ+Calibri"/>
          <w:sz w:val="28"/>
          <w:szCs w:val="28"/>
        </w:rPr>
        <w:t xml:space="preserve">Officer  &amp; </w:t>
      </w:r>
      <w:r w:rsidR="00E1435A">
        <w:rPr>
          <w:rFonts w:ascii="AAAAAC+HelveticaNeue" w:eastAsia="AAAAAH+TimesNewRomanPSMT" w:hAnsi="AAAAAC+HelveticaNeue" w:cs="AAAAAC+HelveticaNeue"/>
          <w:sz w:val="28"/>
          <w:szCs w:val="28"/>
        </w:rPr>
        <w:t>Co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 Chairs: Mary </w:t>
      </w:r>
      <w:proofErr w:type="spellStart"/>
      <w:r>
        <w:rPr>
          <w:rFonts w:ascii="AAAAAC+HelveticaNeue" w:eastAsia="AAAAAH+TimesNewRomanPSMT" w:hAnsi="AAAAAC+HelveticaNeue" w:cs="AAAAAC+HelveticaNeue"/>
          <w:sz w:val="28"/>
          <w:szCs w:val="28"/>
        </w:rPr>
        <w:t>Glindon</w:t>
      </w:r>
      <w:proofErr w:type="spellEnd"/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 MP, Baroness Brinton</w:t>
      </w:r>
      <w:r w:rsidR="00E1435A">
        <w:rPr>
          <w:rFonts w:ascii="AAAAAC+HelveticaNeue" w:eastAsia="AAAAAH+TimesNewRomanPSMT" w:hAnsi="AAAAAC+HelveticaNeue" w:cs="AAAAAC+HelveticaNeue"/>
          <w:sz w:val="28"/>
          <w:szCs w:val="28"/>
        </w:rPr>
        <w:t xml:space="preserve"> &amp;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>Lord Goddard</w:t>
      </w:r>
      <w:r w:rsidR="00E1435A">
        <w:rPr>
          <w:rFonts w:ascii="AAAAAC+HelveticaNeue" w:eastAsia="AAAAAH+TimesNewRomanPSMT" w:hAnsi="AAAAAC+HelveticaNeue" w:cs="AAAAAC+HelveticaNeue"/>
          <w:sz w:val="28"/>
          <w:szCs w:val="28"/>
        </w:rPr>
        <w:t xml:space="preserve">. - with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 Sir Desmond Swayne </w:t>
      </w:r>
      <w:r w:rsidR="00E1435A">
        <w:rPr>
          <w:rFonts w:ascii="AAAAAC+HelveticaNeue" w:eastAsia="AAAAAH+TimesNewRomanPSMT" w:hAnsi="AAAAAC+HelveticaNeue" w:cs="AAAAAC+HelveticaNeue"/>
          <w:sz w:val="28"/>
          <w:szCs w:val="28"/>
        </w:rPr>
        <w:t xml:space="preserve">TD VR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>MP,</w:t>
      </w:r>
      <w:r w:rsidR="00E1435A">
        <w:rPr>
          <w:rFonts w:ascii="AAAAAC+HelveticaNeue" w:eastAsia="AAAAAH+TimesNewRomanPSMT" w:hAnsi="AAAAAC+HelveticaNeue" w:cs="AAAAAC+HelveticaNeue"/>
          <w:sz w:val="28"/>
          <w:szCs w:val="28"/>
        </w:rPr>
        <w:t xml:space="preserve"> and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 Lord John Hendy KC</w:t>
      </w:r>
      <w:r w:rsidR="00E1435A">
        <w:rPr>
          <w:rFonts w:ascii="AAAAAC+HelveticaNeue" w:eastAsia="AAAAAH+TimesNewRomanPSMT" w:hAnsi="AAAAAC+HelveticaNeue" w:cs="AAAAAC+HelveticaNeue"/>
          <w:sz w:val="28"/>
          <w:szCs w:val="28"/>
        </w:rPr>
        <w:t xml:space="preserve"> are Vice Chairs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◦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Advisers: Ronnie </w:t>
      </w:r>
      <w:proofErr w:type="spellStart"/>
      <w:r>
        <w:rPr>
          <w:rFonts w:ascii="AAAAAC+HelveticaNeue" w:eastAsia="AAAAAH+TimesNewRomanPSMT" w:hAnsi="AAAAAC+HelveticaNeue" w:cs="AAAAAC+HelveticaNeue"/>
          <w:sz w:val="28"/>
          <w:szCs w:val="28"/>
        </w:rPr>
        <w:t>King,</w:t>
      </w:r>
      <w:proofErr w:type="spellEnd"/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 Brian Robinson, Tom Roche, Jane Duncan, Paul Bussey, John Cole, Mike Wood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Sir Peter Bottomley was appointed Assistant Honorary Secretary.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The Group expanded its parliamentary membership to include new MPs across parties, ensuring cross-bench representation. </w:t>
      </w:r>
    </w:p>
    <w:p w14:paraId="254FE66A" w14:textId="5EB90952" w:rsidR="00AF0F77" w:rsidRDefault="00AB3318">
      <w:pPr>
        <w:rPr>
          <w:rFonts w:ascii="AAAAAK+HelveticaNeue-Medium" w:eastAsia="AAAAAH+TimesNewRomanPSMT" w:hAnsi="AAAAAK+HelveticaNeue-Medium" w:cs="AAAAAK+HelveticaNeue-Medium"/>
          <w:b/>
          <w:bCs/>
          <w:sz w:val="23"/>
          <w:szCs w:val="23"/>
        </w:rPr>
      </w:pPr>
      <w:r>
        <w:rPr>
          <w:rFonts w:ascii="AAAAAD+HelveticaNeue-Bold" w:eastAsia="AAAAAH+TimesNewRomanPSMT" w:hAnsi="AAAAAD+HelveticaNeue-Bold" w:cs="AAAAAD+HelveticaNeue-Bold"/>
          <w:b/>
          <w:bCs/>
          <w:sz w:val="28"/>
          <w:szCs w:val="28"/>
        </w:rPr>
        <w:t xml:space="preserve">3. Legislative Engagement and Policy Influence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>Maintained regular contact with Ministers including Angela Rayner MP, Matthew Pennycook MP, Dame Diana Johnson MP, Alex Norris MP (Building Safety Minister)</w:t>
      </w:r>
      <w:r w:rsidR="00842705">
        <w:rPr>
          <w:rFonts w:ascii="AAAAAC+HelveticaNeue" w:eastAsia="AAAAAH+TimesNewRomanPSMT" w:hAnsi="AAAAAC+HelveticaNeue" w:cs="AAAAAC+HelveticaNeue"/>
          <w:sz w:val="28"/>
          <w:szCs w:val="28"/>
        </w:rPr>
        <w:t>, and Justin Madders MP (</w:t>
      </w:r>
      <w:r w:rsidR="00CD366D">
        <w:rPr>
          <w:rFonts w:ascii="AAAAAC+HelveticaNeue" w:eastAsia="AAAAAH+TimesNewRomanPSMT" w:hAnsi="AAAAAC+HelveticaNeue" w:cs="AAAAAC+HelveticaNeue"/>
          <w:sz w:val="28"/>
          <w:szCs w:val="28"/>
        </w:rPr>
        <w:t xml:space="preserve">Minister - </w:t>
      </w:r>
      <w:r w:rsidR="00842705">
        <w:rPr>
          <w:rFonts w:ascii="AAAAAC+HelveticaNeue" w:eastAsia="AAAAAH+TimesNewRomanPSMT" w:hAnsi="AAAAAC+HelveticaNeue" w:cs="AAAAAC+HelveticaNeue"/>
          <w:sz w:val="28"/>
          <w:szCs w:val="28"/>
        </w:rPr>
        <w:t>Business and Trade)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Facilitated joint meetings between the APPG, Fire Sector Federation (FSF), and Fire Protection Association (FPA) to coordinate responses to Grenfell recommendations.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Contributed to debates on: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◦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Fire safety in social housing and leasehold buildings.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◦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Implementation of PEEPs (Personal Emergency Evacuation Plans) for disabled residents.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◦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Lithium-ion battery and EV fire risks, calling for tighter import and product safety controls.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>Supported the Product Regulation and Metrology Bill to address unsafe e-bike/e-scooter imports</w:t>
      </w:r>
      <w:r w:rsidRPr="00E1435A">
        <w:rPr>
          <w:rFonts w:ascii="AAAAAC+HelveticaNeue" w:eastAsia="AAAAAH+TimesNewRomanPSMT" w:hAnsi="AAAAAC+HelveticaNeue" w:cs="AAAAAC+HelveticaNeue"/>
          <w:b/>
          <w:bCs/>
          <w:sz w:val="23"/>
          <w:szCs w:val="23"/>
        </w:rPr>
        <w:t xml:space="preserve">. </w:t>
      </w:r>
      <w:r w:rsidR="00E1435A" w:rsidRPr="00E1435A">
        <w:rPr>
          <w:rFonts w:ascii="AAAAAC+HelveticaNeue" w:eastAsia="AAAAAH+TimesNewRomanPSMT" w:hAnsi="AAAAAC+HelveticaNeue" w:cs="AAAAAC+HelveticaNeue"/>
          <w:b/>
          <w:bCs/>
          <w:sz w:val="23"/>
          <w:szCs w:val="23"/>
        </w:rPr>
        <w:t xml:space="preserve">(NB </w:t>
      </w:r>
      <w:r w:rsidRPr="00E1435A">
        <w:rPr>
          <w:rFonts w:ascii="AAAAAK+HelveticaNeue-Medium" w:eastAsia="AAAAAH+TimesNewRomanPSMT" w:hAnsi="AAAAAK+HelveticaNeue-Medium" w:cs="AAAAAK+HelveticaNeue-Medium"/>
          <w:b/>
          <w:bCs/>
          <w:sz w:val="23"/>
          <w:szCs w:val="23"/>
        </w:rPr>
        <w:t xml:space="preserve">This document has been prepared for members of the </w:t>
      </w:r>
      <w:r w:rsidR="00E1435A">
        <w:rPr>
          <w:rFonts w:ascii="AAAAAK+HelveticaNeue-Medium" w:eastAsia="AAAAAH+TimesNewRomanPSMT" w:hAnsi="AAAAAK+HelveticaNeue-Medium" w:cs="AAAAAK+HelveticaNeue-Medium"/>
          <w:b/>
          <w:bCs/>
          <w:sz w:val="23"/>
          <w:szCs w:val="23"/>
        </w:rPr>
        <w:t>NFSN</w:t>
      </w:r>
      <w:r w:rsidRPr="00E1435A">
        <w:rPr>
          <w:rFonts w:ascii="AAAAAK+HelveticaNeue-Medium" w:eastAsia="AAAAAH+TimesNewRomanPSMT" w:hAnsi="AAAAAK+HelveticaNeue-Medium" w:cs="AAAAAK+HelveticaNeue-Medium"/>
          <w:b/>
          <w:bCs/>
          <w:sz w:val="23"/>
          <w:szCs w:val="23"/>
        </w:rPr>
        <w:t xml:space="preserve"> and should not be shared externally</w:t>
      </w:r>
      <w:r w:rsidR="00EB49F3">
        <w:rPr>
          <w:rFonts w:ascii="AAAAAK+HelveticaNeue-Medium" w:eastAsia="AAAAAH+TimesNewRomanPSMT" w:hAnsi="AAAAAK+HelveticaNeue-Medium" w:cs="AAAAAK+HelveticaNeue-Medium"/>
          <w:b/>
          <w:bCs/>
          <w:sz w:val="23"/>
          <w:szCs w:val="23"/>
        </w:rPr>
        <w:t>)</w:t>
      </w:r>
      <w:r w:rsidR="00E1435A">
        <w:rPr>
          <w:rFonts w:ascii="AAAAAK+HelveticaNeue-Medium" w:eastAsia="AAAAAH+TimesNewRomanPSMT" w:hAnsi="AAAAAK+HelveticaNeue-Medium" w:cs="AAAAAK+HelveticaNeue-Medium"/>
          <w:b/>
          <w:bCs/>
          <w:sz w:val="23"/>
          <w:szCs w:val="23"/>
        </w:rPr>
        <w:t xml:space="preserve">.  </w:t>
      </w:r>
    </w:p>
    <w:p w14:paraId="6B108505" w14:textId="78530E13" w:rsidR="00AF0F77" w:rsidRDefault="00AB3318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D+HelveticaNeue-Bold" w:eastAsia="AAAAAH+TimesNewRomanPSMT" w:hAnsi="AAAAAD+HelveticaNeue-Bold" w:cs="AAAAAD+HelveticaNeue-Bold"/>
          <w:b/>
          <w:bCs/>
          <w:sz w:val="28"/>
          <w:szCs w:val="28"/>
        </w:rPr>
        <w:t xml:space="preserve">4. Emerging Concerns and Sector Challenges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>Cladding remediation delays: The National Audit O</w:t>
      </w:r>
      <w:r>
        <w:rPr>
          <w:rFonts w:ascii="AAAAAE+HelveticaNeue" w:eastAsia="AAAAAH+TimesNewRomanPSMT" w:hAnsi="AAAAAE+HelveticaNeue" w:cs="AAAAAE+HelveticaNeue"/>
          <w:sz w:val="28"/>
          <w:szCs w:val="28"/>
        </w:rPr>
        <w:t>ffi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ce estimates completion by 2035, at a cost of £16.6 billion.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Leasehold reform: The APPG collaborated with the Leasehold Knowledge Partnership to highlight safety issues and unfair costs borne by leaseholders.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>Fire doors and testing: Urged the Home O</w:t>
      </w:r>
      <w:r>
        <w:rPr>
          <w:rFonts w:ascii="AAAAAE+HelveticaNeue" w:eastAsia="AAAAAH+TimesNewRomanPSMT" w:hAnsi="AAAAAE+HelveticaNeue" w:cs="AAAAAE+HelveticaNeue"/>
          <w:sz w:val="28"/>
          <w:szCs w:val="28"/>
        </w:rPr>
        <w:t>ffi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ce and BSR to prevent unnecessary replacement of millions of compliant fire doors and to clarify transitional arrangements for EN testing standards.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Education and infrastructure safety: Welcomed the government’s £740m SEND building fund and pledged continued advocacy for sprinkler installations in all educational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lastRenderedPageBreak/>
        <w:t xml:space="preserve">buildings. </w:t>
      </w:r>
      <w:r>
        <w:rPr>
          <w:rFonts w:ascii="AAAAAJ+Calibri" w:eastAsia="AAAAAH+TimesNewRomanPSMT" w:hAnsi="AAAAAJ+Calibri" w:cs="AAAAAJ+Calibri"/>
          <w:sz w:val="28"/>
          <w:szCs w:val="28"/>
        </w:rPr>
        <w:t xml:space="preserve">•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>Cultural and structural change: Supported calls for a duty of candour within government following evidence of poor accountability</w:t>
      </w:r>
    </w:p>
    <w:p w14:paraId="76961FE8" w14:textId="77777777" w:rsidR="00AF0F77" w:rsidRDefault="00AB3318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across departments during Grenfell-related inquiries. </w:t>
      </w:r>
    </w:p>
    <w:p w14:paraId="0E035ACB" w14:textId="73CC1031" w:rsidR="00F7617D" w:rsidRDefault="00AB3318">
      <w:pPr>
        <w:rPr>
          <w:rFonts w:ascii="AAAAAD+HelveticaNeue-Bold" w:eastAsia="AAAAAH+TimesNewRomanPSMT" w:hAnsi="AAAAAD+HelveticaNeue-Bold" w:cs="AAAAAD+HelveticaNeue-Bold"/>
          <w:b/>
          <w:bCs/>
          <w:sz w:val="28"/>
          <w:szCs w:val="28"/>
        </w:rPr>
      </w:pPr>
      <w:r>
        <w:rPr>
          <w:rFonts w:ascii="AAAAAD+HelveticaNeue-Bold" w:eastAsia="AAAAAH+TimesNewRomanPSMT" w:hAnsi="AAAAAD+HelveticaNeue-Bold" w:cs="AAAAAD+HelveticaNeue-Bold"/>
          <w:b/>
          <w:bCs/>
          <w:sz w:val="28"/>
          <w:szCs w:val="28"/>
        </w:rPr>
        <w:t xml:space="preserve">5. APPG Priorities for 2025 </w:t>
      </w:r>
      <w:r w:rsidR="00F7617D">
        <w:rPr>
          <w:rFonts w:ascii="AAAAAD+HelveticaNeue-Bold" w:eastAsia="AAAAAH+TimesNewRomanPSMT" w:hAnsi="AAAAAD+HelveticaNeue-Bold" w:cs="AAAAAD+HelveticaNeue-Bold"/>
          <w:b/>
          <w:bCs/>
          <w:sz w:val="28"/>
          <w:szCs w:val="28"/>
        </w:rPr>
        <w:t>:</w:t>
      </w:r>
    </w:p>
    <w:p w14:paraId="7E791FE1" w14:textId="77777777" w:rsidR="00F7617D" w:rsidRDefault="00AB3318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J+Calibri" w:eastAsia="AAAAAH+TimesNewRomanPSMT" w:hAnsi="AAAAAJ+Calibri" w:cs="AAAAAJ+Calibri"/>
          <w:sz w:val="28"/>
          <w:szCs w:val="28"/>
        </w:rPr>
        <w:t xml:space="preserve">1.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Ensure full and timely implementation of all Grenfell Inquiry recommendations. </w:t>
      </w:r>
    </w:p>
    <w:p w14:paraId="42785682" w14:textId="77777777" w:rsidR="00F7617D" w:rsidRDefault="00AB3318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J+Calibri" w:eastAsia="AAAAAH+TimesNewRomanPSMT" w:hAnsi="AAAAAJ+Calibri" w:cs="AAAAAJ+Calibri"/>
          <w:sz w:val="28"/>
          <w:szCs w:val="28"/>
        </w:rPr>
        <w:t xml:space="preserve">2.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Establish a unified Department for Fire Safety, consolidating housing, construction, and emergency response oversight. </w:t>
      </w:r>
    </w:p>
    <w:p w14:paraId="14A7835C" w14:textId="77777777" w:rsidR="00F7617D" w:rsidRDefault="00AB3318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J+Calibri" w:eastAsia="AAAAAH+TimesNewRomanPSMT" w:hAnsi="AAAAAJ+Calibri" w:cs="AAAAAJ+Calibri"/>
          <w:sz w:val="28"/>
          <w:szCs w:val="28"/>
        </w:rPr>
        <w:t xml:space="preserve">3.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Mandate sprinklers in all high-risk residential, educational, and care settings. </w:t>
      </w:r>
    </w:p>
    <w:p w14:paraId="732C72F1" w14:textId="10A13CD5" w:rsidR="00F7617D" w:rsidRDefault="00AB3318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J+Calibri" w:eastAsia="AAAAAH+TimesNewRomanPSMT" w:hAnsi="AAAAAJ+Calibri" w:cs="AAAAAJ+Calibri"/>
          <w:sz w:val="28"/>
          <w:szCs w:val="28"/>
        </w:rPr>
        <w:t xml:space="preserve">4.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>Accelerate building remediation, setting measurable milestones and ensuring transparency in progress reporting.</w:t>
      </w:r>
    </w:p>
    <w:p w14:paraId="03816413" w14:textId="77777777" w:rsidR="00F7617D" w:rsidRDefault="00AB3318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J+Calibri" w:eastAsia="AAAAAH+TimesNewRomanPSMT" w:hAnsi="AAAAAJ+Calibri" w:cs="AAAAAJ+Calibri"/>
          <w:sz w:val="28"/>
          <w:szCs w:val="28"/>
        </w:rPr>
        <w:t xml:space="preserve">5.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Clarify and stabilise testing standards for fire doors and construction products. </w:t>
      </w:r>
    </w:p>
    <w:p w14:paraId="2153C228" w14:textId="77777777" w:rsidR="00F7617D" w:rsidRDefault="00AB3318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J+Calibri" w:eastAsia="AAAAAH+TimesNewRomanPSMT" w:hAnsi="AAAAAJ+Calibri" w:cs="AAAAAJ+Calibri"/>
          <w:sz w:val="28"/>
          <w:szCs w:val="28"/>
        </w:rPr>
        <w:t xml:space="preserve">6.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Support vulnerable occupants, ensuring PEEPs are legally enforceable. </w:t>
      </w:r>
    </w:p>
    <w:p w14:paraId="7646DA23" w14:textId="77777777" w:rsidR="00F7617D" w:rsidRDefault="00AB3318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J+Calibri" w:eastAsia="AAAAAH+TimesNewRomanPSMT" w:hAnsi="AAAAAJ+Calibri" w:cs="AAAAAJ+Calibri"/>
          <w:sz w:val="28"/>
          <w:szCs w:val="28"/>
        </w:rPr>
        <w:t xml:space="preserve">7.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Promote sustainable fire safety innovation, addressing emerging threats such as battery fires and EV charging infrastructure. </w:t>
      </w:r>
    </w:p>
    <w:p w14:paraId="774A481E" w14:textId="2324B884" w:rsidR="00F7617D" w:rsidRDefault="00AB3318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J+Calibri" w:eastAsia="AAAAAH+TimesNewRomanPSMT" w:hAnsi="AAAAAJ+Calibri" w:cs="AAAAAJ+Calibri"/>
          <w:sz w:val="28"/>
          <w:szCs w:val="28"/>
        </w:rPr>
        <w:t xml:space="preserve">8.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Strengthen inter-agency collaboration between government, regulators, and industry to prevent fragmentation. </w:t>
      </w:r>
      <w:r w:rsidR="002F4F17">
        <w:rPr>
          <w:rFonts w:ascii="AAAAAC+HelveticaNeue" w:eastAsia="AAAAAH+TimesNewRomanPSMT" w:hAnsi="AAAAAC+HelveticaNeue" w:cs="AAAAAC+HelveticaNeue"/>
          <w:sz w:val="28"/>
          <w:szCs w:val="28"/>
        </w:rPr>
        <w:t xml:space="preserve">Ver to </w:t>
      </w:r>
    </w:p>
    <w:p w14:paraId="506BDBA8" w14:textId="172B683A" w:rsidR="000F558D" w:rsidRDefault="00AB3318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C+HelveticaNeue" w:eastAsia="AAAAAH+TimesNewRomanPSMT" w:hAnsi="AAAAAC+HelveticaNeue" w:cs="AAAAAC+HelveticaNeue"/>
          <w:sz w:val="28"/>
          <w:szCs w:val="28"/>
        </w:rPr>
        <w:t>The APPG Fire Safety &amp; Rescue remains a vital parliamentary forum ensuring that fire safety reform remains a national priority. The Group continues to provide expert scrutiny, challenge complacency, and advocate for the protection of life and property through e</w:t>
      </w:r>
      <w:r>
        <w:rPr>
          <w:rFonts w:ascii="AAAAAE+HelveticaNeue" w:eastAsia="AAAAAH+TimesNewRomanPSMT" w:hAnsi="AAAAAE+HelveticaNeue" w:cs="AAAAAE+HelveticaNeue"/>
          <w:sz w:val="28"/>
          <w:szCs w:val="28"/>
        </w:rPr>
        <w:t>ff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>ective, evidence-based legislation.</w:t>
      </w:r>
    </w:p>
    <w:p w14:paraId="7ED96820" w14:textId="44493805" w:rsidR="002F4F17" w:rsidRDefault="002F4F17">
      <w:pPr>
        <w:rPr>
          <w:rFonts w:ascii="AAAAAC+HelveticaNeue" w:eastAsia="AAAAAH+TimesNewRomanPSMT" w:hAnsi="AAAAAC+HelveticaNeue" w:cs="AAAAAC+HelveticaNeue"/>
          <w:sz w:val="28"/>
          <w:szCs w:val="28"/>
        </w:rPr>
      </w:pP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Ronnie King has spent some time in the past few months in preparation for handing over to his (NOW) successor Professor Steve McGuirk </w:t>
      </w:r>
      <w:r w:rsidR="00EB49F3">
        <w:rPr>
          <w:rFonts w:ascii="AAAAAC+HelveticaNeue" w:eastAsia="AAAAAH+TimesNewRomanPSMT" w:hAnsi="AAAAAC+HelveticaNeue" w:cs="AAAAAC+HelveticaNeue"/>
          <w:sz w:val="28"/>
          <w:szCs w:val="28"/>
        </w:rPr>
        <w:t xml:space="preserve">CBE 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>who was formally appointed at the All-Party Parliamentary Group’s AGM on Wednesday 15</w:t>
      </w:r>
      <w:r w:rsidRPr="002F4F17">
        <w:rPr>
          <w:rFonts w:ascii="AAAAAC+HelveticaNeue" w:eastAsia="AAAAAH+TimesNewRomanPSMT" w:hAnsi="AAAAAC+HelveticaNeue" w:cs="AAAAAC+HelveticaNeue"/>
          <w:sz w:val="28"/>
          <w:szCs w:val="28"/>
          <w:vertAlign w:val="superscript"/>
        </w:rPr>
        <w:t>th</w:t>
      </w: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 October 2025.</w:t>
      </w:r>
      <w:r w:rsidR="00EB49F3">
        <w:rPr>
          <w:rFonts w:ascii="AAAAAC+HelveticaNeue" w:eastAsia="AAAAAH+TimesNewRomanPSMT" w:hAnsi="AAAAAC+HelveticaNeue" w:cs="AAAAAC+HelveticaNeue"/>
          <w:sz w:val="28"/>
          <w:szCs w:val="28"/>
        </w:rPr>
        <w:t xml:space="preserve">  He wishes Steve every success in his appointment, and has full confidence in Steve’s experience and skills to undertake a role which Ronnie King </w:t>
      </w:r>
      <w:r w:rsidR="00AF0F77">
        <w:rPr>
          <w:rFonts w:ascii="AAAAAC+HelveticaNeue" w:eastAsia="AAAAAH+TimesNewRomanPSMT" w:hAnsi="AAAAAC+HelveticaNeue" w:cs="AAAAAC+HelveticaNeue"/>
          <w:sz w:val="28"/>
          <w:szCs w:val="28"/>
        </w:rPr>
        <w:t xml:space="preserve">did for 14 years with almost 64 years spent in “FIRE”.  </w:t>
      </w:r>
      <w:r w:rsidR="00EB49F3">
        <w:rPr>
          <w:rFonts w:ascii="AAAAAC+HelveticaNeue" w:eastAsia="AAAAAH+TimesNewRomanPSMT" w:hAnsi="AAAAAC+HelveticaNeue" w:cs="AAAAAC+HelveticaNeue"/>
          <w:sz w:val="28"/>
          <w:szCs w:val="28"/>
        </w:rPr>
        <w:t xml:space="preserve"> </w:t>
      </w:r>
    </w:p>
    <w:p w14:paraId="50CFA675" w14:textId="64AACC52" w:rsidR="002F4F17" w:rsidRPr="00F7617D" w:rsidRDefault="002F4F17">
      <w:pPr>
        <w:rPr>
          <w:rFonts w:ascii="AAAAAC+HelveticaNeue" w:hAnsi="AAAAAC+HelveticaNeue" w:cs="AAAAAC+HelveticaNeue"/>
          <w:sz w:val="28"/>
          <w:szCs w:val="28"/>
        </w:rPr>
      </w:pPr>
      <w:r>
        <w:rPr>
          <w:rFonts w:ascii="AAAAAC+HelveticaNeue" w:eastAsia="AAAAAH+TimesNewRomanPSMT" w:hAnsi="AAAAAC+HelveticaNeue" w:cs="AAAAAC+HelveticaNeue"/>
          <w:sz w:val="28"/>
          <w:szCs w:val="28"/>
        </w:rPr>
        <w:t xml:space="preserve">The APPG Officers and Vice Chairs remain the same as last year, with Sir Peter Bottomley (formerly ‘Father of the House’) being appointed as an Adviser to the Group.  </w:t>
      </w:r>
    </w:p>
    <w:sectPr w:rsidR="002F4F17" w:rsidRPr="00F7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AAAAD+HelveticaNeue-Bold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C+Helvetica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E+Helvetica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H+TimesNewRomanPSMT">
    <w:altName w:val="Times New Roman PSMT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AAAAF+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J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K+HelveticaNeue-Medium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318"/>
    <w:rsid w:val="000F558D"/>
    <w:rsid w:val="002369FD"/>
    <w:rsid w:val="002F4F17"/>
    <w:rsid w:val="006665EB"/>
    <w:rsid w:val="00674238"/>
    <w:rsid w:val="00835348"/>
    <w:rsid w:val="00842705"/>
    <w:rsid w:val="00865FE5"/>
    <w:rsid w:val="00947844"/>
    <w:rsid w:val="00AB3318"/>
    <w:rsid w:val="00AF0F77"/>
    <w:rsid w:val="00CD366D"/>
    <w:rsid w:val="00E1435A"/>
    <w:rsid w:val="00EB49F3"/>
    <w:rsid w:val="00F7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9BE6"/>
  <w15:chartTrackingRefBased/>
  <w15:docId w15:val="{FD14CFC2-A895-4ABE-8EAA-01FD13BB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Houses of Parliament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Ronnie</dc:creator>
  <cp:keywords/>
  <dc:description/>
  <cp:lastModifiedBy>KING, Ronnie</cp:lastModifiedBy>
  <cp:revision>4</cp:revision>
  <dcterms:created xsi:type="dcterms:W3CDTF">2025-10-24T02:16:00Z</dcterms:created>
  <dcterms:modified xsi:type="dcterms:W3CDTF">2025-10-24T02:22:00Z</dcterms:modified>
</cp:coreProperties>
</file>